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5645" w14:textId="77777777" w:rsidR="00957E64" w:rsidRPr="002E75D2" w:rsidRDefault="00957E64" w:rsidP="002E75D2">
      <w:pPr>
        <w:jc w:val="center"/>
        <w:rPr>
          <w:rFonts w:ascii="Lato Light" w:hAnsi="Lato Light" w:cs="Lato Light"/>
          <w:b/>
          <w:bCs/>
          <w:sz w:val="22"/>
          <w:szCs w:val="22"/>
        </w:rPr>
      </w:pPr>
    </w:p>
    <w:p w14:paraId="7E2DC759" w14:textId="00DC6445" w:rsidR="0043709D" w:rsidRPr="002E75D2" w:rsidRDefault="0043709D" w:rsidP="002E75D2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2E75D2">
        <w:rPr>
          <w:rFonts w:ascii="Lato Light" w:hAnsi="Lato Light" w:cs="Lato Light"/>
          <w:b/>
          <w:bCs/>
          <w:sz w:val="22"/>
          <w:szCs w:val="22"/>
        </w:rPr>
        <w:t>ZAŁĄCZNIK PRODUKTOWY BSA</w:t>
      </w:r>
    </w:p>
    <w:p w14:paraId="0A0012FB" w14:textId="77777777" w:rsidR="00674EC7" w:rsidRPr="002E75D2" w:rsidRDefault="00674EC7" w:rsidP="002E75D2">
      <w:pPr>
        <w:rPr>
          <w:rFonts w:ascii="Lato Light" w:hAnsi="Lato Light" w:cs="Lato Light"/>
          <w:sz w:val="22"/>
          <w:szCs w:val="22"/>
        </w:rPr>
      </w:pPr>
    </w:p>
    <w:p w14:paraId="15EA2D45" w14:textId="1EA1C63C" w:rsidR="00F937FF" w:rsidRPr="002E75D2" w:rsidRDefault="00A53A98" w:rsidP="002E75D2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2E75D2">
        <w:rPr>
          <w:rFonts w:ascii="Lato Light" w:hAnsi="Lato Light" w:cs="Lato Light"/>
          <w:b/>
          <w:bCs/>
          <w:sz w:val="22"/>
          <w:szCs w:val="22"/>
        </w:rPr>
        <w:t>§1.</w:t>
      </w:r>
      <w:r w:rsidR="00F937FF" w:rsidRPr="002E75D2">
        <w:rPr>
          <w:rFonts w:ascii="Lato Light" w:hAnsi="Lato Light" w:cs="Lato Light"/>
          <w:b/>
          <w:bCs/>
          <w:sz w:val="22"/>
          <w:szCs w:val="22"/>
        </w:rPr>
        <w:t xml:space="preserve">Przedmiot </w:t>
      </w:r>
      <w:r w:rsidR="007D73EA" w:rsidRPr="002E75D2">
        <w:rPr>
          <w:rFonts w:ascii="Lato Light" w:hAnsi="Lato Light" w:cs="Lato Light"/>
          <w:b/>
          <w:bCs/>
          <w:sz w:val="22"/>
          <w:szCs w:val="22"/>
        </w:rPr>
        <w:t>Załącznika produktowego</w:t>
      </w:r>
    </w:p>
    <w:p w14:paraId="53D76ABC" w14:textId="661A6C88" w:rsidR="00F937FF" w:rsidRPr="002E75D2" w:rsidRDefault="00F937FF" w:rsidP="002E75D2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</w:pPr>
      <w:r w:rsidRPr="002E75D2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Niniejsz</w:t>
      </w:r>
      <w:r w:rsidR="00CB6359" w:rsidRPr="002E75D2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y</w:t>
      </w:r>
      <w:r w:rsidRPr="002E75D2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 xml:space="preserve"> </w:t>
      </w:r>
      <w:r w:rsidR="00957E64" w:rsidRPr="002E75D2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dokument</w:t>
      </w:r>
      <w:r w:rsidRPr="002E75D2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 </w:t>
      </w:r>
      <w:r w:rsidRPr="002E75D2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określa zasady świadczenia Usługi BSA i stanowi uzupełnienie Umowy </w:t>
      </w:r>
      <w:r w:rsidR="00957E64" w:rsidRPr="002E75D2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r</w:t>
      </w:r>
      <w:r w:rsidRPr="002E75D2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amowej w zakresie dostępu do Sieci </w:t>
      </w:r>
      <w:r w:rsidR="00957E64" w:rsidRPr="002E75D2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FS, udziela</w:t>
      </w:r>
      <w:r w:rsidR="00F249F3" w:rsidRPr="002E75D2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nego przez: Kamil Turoń, prowadzący działalność gospodarczą pod firmą KAMNET TUROŃ KAMIL</w:t>
      </w:r>
      <w:r w:rsidRPr="002E75D2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.</w:t>
      </w:r>
    </w:p>
    <w:p w14:paraId="0A2690C2" w14:textId="217D9A48" w:rsidR="00F937FF" w:rsidRPr="002E75D2" w:rsidRDefault="00F937FF" w:rsidP="002E75D2">
      <w:pPr>
        <w:pStyle w:val="Style1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Terminy pisane z wielkiej litery mają znaczenie nadane im w Umowie </w:t>
      </w:r>
      <w:r w:rsidR="00F249F3" w:rsidRPr="002E75D2">
        <w:rPr>
          <w:rFonts w:ascii="Lato Light" w:hAnsi="Lato Light" w:cs="Lato Light"/>
          <w:sz w:val="22"/>
          <w:szCs w:val="22"/>
          <w:lang w:val="pl-PL"/>
        </w:rPr>
        <w:t>r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amowej, chyba że </w:t>
      </w:r>
      <w:r w:rsidR="000132A4" w:rsidRPr="002E75D2">
        <w:rPr>
          <w:rFonts w:ascii="Lato Light" w:hAnsi="Lato Light" w:cs="Lato Light"/>
          <w:sz w:val="22"/>
          <w:szCs w:val="22"/>
          <w:lang w:val="pl-PL"/>
        </w:rPr>
        <w:t xml:space="preserve">niniejszy dokument definiuje </w:t>
      </w:r>
      <w:r w:rsidRPr="002E75D2">
        <w:rPr>
          <w:rFonts w:ascii="Lato Light" w:hAnsi="Lato Light" w:cs="Lato Light"/>
          <w:sz w:val="22"/>
          <w:szCs w:val="22"/>
          <w:lang w:val="pl-PL"/>
        </w:rPr>
        <w:t>je odmiennie.</w:t>
      </w:r>
    </w:p>
    <w:p w14:paraId="65140476" w14:textId="09FE40C7" w:rsidR="00DC14C2" w:rsidRPr="002E75D2" w:rsidRDefault="00F937FF" w:rsidP="002E75D2">
      <w:pPr>
        <w:pStyle w:val="Style1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Przepływności w jakich udostępniana jest Usługa BSA </w:t>
      </w:r>
      <w:r w:rsidR="000132A4" w:rsidRPr="002E75D2">
        <w:rPr>
          <w:rFonts w:ascii="Lato Light" w:hAnsi="Lato Light" w:cs="Lato Light"/>
          <w:sz w:val="22"/>
          <w:szCs w:val="22"/>
          <w:lang w:val="pl-PL"/>
        </w:rPr>
        <w:t xml:space="preserve">oraz ich ceny </w:t>
      </w:r>
      <w:r w:rsidRPr="002E75D2">
        <w:rPr>
          <w:rFonts w:ascii="Lato Light" w:hAnsi="Lato Light" w:cs="Lato Light"/>
          <w:sz w:val="22"/>
          <w:szCs w:val="22"/>
          <w:lang w:val="pl-PL"/>
        </w:rPr>
        <w:t>określone są w Cenniku.</w:t>
      </w:r>
    </w:p>
    <w:p w14:paraId="6D53EACD" w14:textId="0B4E1E26" w:rsidR="00C73DE3" w:rsidRPr="002E75D2" w:rsidRDefault="00C73DE3" w:rsidP="002E75D2">
      <w:pPr>
        <w:pStyle w:val="Style1"/>
        <w:spacing w:after="120" w:line="276" w:lineRule="auto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§2. </w:t>
      </w:r>
      <w:r w:rsidR="007D73EA"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Zasady świadczenia </w:t>
      </w: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BSA</w:t>
      </w:r>
    </w:p>
    <w:p w14:paraId="75031E88" w14:textId="7C66F9AE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Usługa BSA dostępn</w:t>
      </w:r>
      <w:r w:rsidR="003216D3" w:rsidRPr="002E75D2">
        <w:rPr>
          <w:rFonts w:ascii="Lato Light" w:hAnsi="Lato Light" w:cs="Lato Light"/>
          <w:sz w:val="22"/>
          <w:szCs w:val="22"/>
          <w:lang w:val="pl-PL"/>
        </w:rPr>
        <w:t>a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3216D3" w:rsidRPr="002E75D2">
        <w:rPr>
          <w:rFonts w:ascii="Lato Light" w:hAnsi="Lato Light" w:cs="Lato Light"/>
          <w:sz w:val="22"/>
          <w:szCs w:val="22"/>
          <w:lang w:val="pl-PL"/>
        </w:rPr>
        <w:t xml:space="preserve">jest 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we wszystkich PA znajdujących się w zasięgu Sieci </w:t>
      </w:r>
      <w:r w:rsidR="00DC14C2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Pr="002E75D2">
        <w:rPr>
          <w:rFonts w:ascii="Lato Light" w:hAnsi="Lato Light" w:cs="Lato Light"/>
          <w:sz w:val="22"/>
          <w:szCs w:val="22"/>
          <w:lang w:val="pl-PL"/>
        </w:rPr>
        <w:t>.</w:t>
      </w:r>
    </w:p>
    <w:p w14:paraId="13B72DB0" w14:textId="51B9899E" w:rsidR="00582C13" w:rsidRPr="002E75D2" w:rsidRDefault="00DC14C2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Pojedyncza </w:t>
      </w:r>
      <w:r w:rsidR="00582C13" w:rsidRPr="002E75D2">
        <w:rPr>
          <w:rFonts w:ascii="Lato Light" w:hAnsi="Lato Light" w:cs="Lato Light"/>
          <w:sz w:val="22"/>
          <w:szCs w:val="22"/>
          <w:lang w:val="pl-PL"/>
        </w:rPr>
        <w:t xml:space="preserve">usługa BSA powinna odpowiadać 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pojedynczej </w:t>
      </w:r>
      <w:r w:rsidR="00582C13" w:rsidRPr="002E75D2">
        <w:rPr>
          <w:rFonts w:ascii="Lato Light" w:hAnsi="Lato Light" w:cs="Lato Light"/>
          <w:sz w:val="22"/>
          <w:szCs w:val="22"/>
          <w:lang w:val="pl-PL"/>
        </w:rPr>
        <w:t>Usłudze Detalicznej świadczonej w danym PA.</w:t>
      </w:r>
    </w:p>
    <w:p w14:paraId="75606A2A" w14:textId="4F5C8B27" w:rsidR="00582C13" w:rsidRPr="002E75D2" w:rsidRDefault="00EA532B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U</w:t>
      </w:r>
      <w:r w:rsidR="00582C13" w:rsidRPr="002E75D2">
        <w:rPr>
          <w:rFonts w:ascii="Lato Light" w:hAnsi="Lato Light" w:cs="Lato Light"/>
          <w:sz w:val="22"/>
          <w:szCs w:val="22"/>
          <w:lang w:val="pl-PL"/>
        </w:rPr>
        <w:t xml:space="preserve">zyskanie dostępu do usługi BSA 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jest możliwe w </w:t>
      </w:r>
      <w:r w:rsidR="00CD7B14" w:rsidRPr="002E75D2">
        <w:rPr>
          <w:rFonts w:ascii="Lato Light" w:hAnsi="Lato Light" w:cs="Lato Light"/>
          <w:sz w:val="22"/>
          <w:szCs w:val="22"/>
          <w:lang w:val="pl-PL"/>
        </w:rPr>
        <w:t xml:space="preserve">PWR </w:t>
      </w:r>
      <w:r w:rsidR="00A401CC" w:rsidRPr="002E75D2">
        <w:rPr>
          <w:rFonts w:ascii="Lato Light" w:hAnsi="Lato Light" w:cs="Lato Light"/>
          <w:sz w:val="22"/>
          <w:szCs w:val="22"/>
          <w:lang w:val="pl-PL"/>
        </w:rPr>
        <w:t>zgodnie z listą PA przyporządkowaną do poszczególnych PDU</w:t>
      </w:r>
      <w:r w:rsidR="00FE5AE6" w:rsidRPr="002E75D2">
        <w:rPr>
          <w:rFonts w:ascii="Lato Light" w:hAnsi="Lato Light" w:cs="Lato Light"/>
          <w:sz w:val="22"/>
          <w:szCs w:val="22"/>
          <w:lang w:val="pl-PL"/>
        </w:rPr>
        <w:t xml:space="preserve"> (dane udostępnione w ramach Informacji Ogólnych).</w:t>
      </w:r>
      <w:r w:rsidR="00CD7B14" w:rsidRPr="002E75D2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582C13" w:rsidRPr="002E75D2">
        <w:rPr>
          <w:rFonts w:ascii="Lato Light" w:hAnsi="Lato Light" w:cs="Lato Light"/>
          <w:sz w:val="22"/>
          <w:szCs w:val="22"/>
          <w:lang w:val="pl-PL"/>
        </w:rPr>
        <w:t xml:space="preserve"> Za zgodą obu Stron, z zachowaniem zasady niedyskryminacji, możliwe jest uzgodnienie także innego miejsca uzyskania dostępu, w tym leżącego poza Siecią </w:t>
      </w:r>
      <w:r w:rsidR="00FE5AE6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="00582C13" w:rsidRPr="002E75D2">
        <w:rPr>
          <w:rFonts w:ascii="Lato Light" w:hAnsi="Lato Light" w:cs="Lato Light"/>
          <w:sz w:val="22"/>
          <w:szCs w:val="22"/>
          <w:lang w:val="pl-PL"/>
        </w:rPr>
        <w:t>.</w:t>
      </w:r>
    </w:p>
    <w:p w14:paraId="0ED5B410" w14:textId="77777777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Usługa BSA obejmuje wszelkie koszty związane ze świadczoną usługą, w tym utrzymanie Lokalnej pętli abonenckiej oraz wszelkiej innej Infrastruktury telekomunikacyjnej i usług niezbędnych na odcinku od ONT lub CPE (w przypadku sieci wykorzystujących technologię inną aniżeli technologia światłowodowa) do PDU BSA, z wyłączeniem opłat za samo PDU BSA. </w:t>
      </w:r>
    </w:p>
    <w:p w14:paraId="197A7A0E" w14:textId="77777777" w:rsidR="000900F2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Usługa BSA umożliwia OK świadczenie własnych usług szerokopasmowych w oparciu o profile udostępnione przez OSD o parametrach technicznych nie gorszych niż świadczone własnym Abonentom oraz określone w Wymaganiach, w tym pakietów usług powiązanych w oparciu o dostarczane przez OSD usługi szerokopasmowej transmisji danych. W ramach usługi BSA OSD zapewni OK dostęp telekomunikacyjny na poziomie</w:t>
      </w:r>
      <w:r w:rsidR="000900F2" w:rsidRPr="002E75D2">
        <w:rPr>
          <w:rFonts w:ascii="Lato Light" w:hAnsi="Lato Light" w:cs="Lato Light"/>
          <w:sz w:val="22"/>
          <w:szCs w:val="22"/>
          <w:lang w:val="pl-PL"/>
        </w:rPr>
        <w:t>: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 </w:t>
      </w:r>
    </w:p>
    <w:p w14:paraId="37698562" w14:textId="3A0147AB" w:rsidR="00582C13" w:rsidRPr="002E75D2" w:rsidRDefault="00582C13" w:rsidP="002E75D2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Ethernet</w:t>
      </w:r>
      <w:r w:rsidR="008F78DB" w:rsidRPr="002E75D2">
        <w:rPr>
          <w:rFonts w:ascii="Lato Light" w:hAnsi="Lato Light" w:cs="Lato Light"/>
          <w:sz w:val="22"/>
          <w:szCs w:val="22"/>
          <w:lang w:val="pl-PL"/>
        </w:rPr>
        <w:t xml:space="preserve"> VLAN (IEEE 802.1Q)</w:t>
      </w:r>
      <w:r w:rsidR="000900F2" w:rsidRPr="002E75D2">
        <w:rPr>
          <w:rFonts w:ascii="Lato Light" w:hAnsi="Lato Light" w:cs="Lato Light"/>
          <w:sz w:val="22"/>
          <w:szCs w:val="22"/>
          <w:lang w:val="pl-PL"/>
        </w:rPr>
        <w:t>,</w:t>
      </w:r>
    </w:p>
    <w:p w14:paraId="5EBE0988" w14:textId="5A9FDE2B" w:rsidR="000900F2" w:rsidRPr="002E75D2" w:rsidRDefault="000900F2" w:rsidP="002E75D2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IP Niezarządzany.</w:t>
      </w:r>
    </w:p>
    <w:p w14:paraId="58F739F6" w14:textId="77777777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Po stronie OK należy zainstalować i skonfigurować urządzenia obsługujące funkcjonalności Ethernet (m.in. VLAN </w:t>
      </w:r>
      <w:proofErr w:type="spellStart"/>
      <w:r w:rsidRPr="002E75D2">
        <w:rPr>
          <w:rFonts w:ascii="Lato Light" w:hAnsi="Lato Light" w:cs="Lato Light"/>
          <w:sz w:val="22"/>
          <w:szCs w:val="22"/>
          <w:lang w:val="pl-PL"/>
        </w:rPr>
        <w:t>tagging</w:t>
      </w:r>
      <w:proofErr w:type="spellEnd"/>
      <w:r w:rsidRPr="002E75D2">
        <w:rPr>
          <w:rFonts w:ascii="Lato Light" w:hAnsi="Lato Light" w:cs="Lato Light"/>
          <w:sz w:val="22"/>
          <w:szCs w:val="22"/>
          <w:lang w:val="pl-PL"/>
        </w:rPr>
        <w:t xml:space="preserve">). </w:t>
      </w:r>
    </w:p>
    <w:p w14:paraId="1F77847C" w14:textId="499FF073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Ruch Abonentów OK dla poszczególnych CPE będzie się odbywać w oparciu o zewnętrzny VLAN. Ruch Abonentów OK z CPE będzie mapowany do jednego VLAN per klasa usługi</w:t>
      </w:r>
      <w:r w:rsidR="00A401CC" w:rsidRPr="002E75D2">
        <w:rPr>
          <w:rFonts w:ascii="Lato Light" w:hAnsi="Lato Light" w:cs="Lato Light"/>
          <w:sz w:val="22"/>
          <w:szCs w:val="22"/>
          <w:lang w:val="pl-PL"/>
        </w:rPr>
        <w:t xml:space="preserve"> oraz urządzenia OLT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. </w:t>
      </w:r>
    </w:p>
    <w:p w14:paraId="42F08108" w14:textId="1209E32E" w:rsidR="00E51264" w:rsidRPr="002E75D2" w:rsidRDefault="00582C13" w:rsidP="002E75D2">
      <w:pPr>
        <w:pStyle w:val="Style1"/>
        <w:numPr>
          <w:ilvl w:val="0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Urządzenie aktywne w węźle dostępowym będzie</w:t>
      </w:r>
      <w:r w:rsidR="00E51264" w:rsidRPr="002E75D2">
        <w:rPr>
          <w:rFonts w:ascii="Lato Light" w:hAnsi="Lato Light"/>
          <w:sz w:val="22"/>
          <w:szCs w:val="22"/>
          <w:lang w:val="pl-PL"/>
        </w:rPr>
        <w:t xml:space="preserve"> </w:t>
      </w:r>
      <w:r w:rsidR="00E51264" w:rsidRPr="002E75D2">
        <w:rPr>
          <w:rFonts w:ascii="Lato Light" w:hAnsi="Lato Light" w:cs="Lato Light"/>
          <w:sz w:val="22"/>
          <w:szCs w:val="22"/>
          <w:lang w:val="pl-PL"/>
        </w:rPr>
        <w:t>miało przypisaną grupę maksymalnie 4 VLAN nadawanych przez OSD per klasa usługi. Dokładne przypisanie usług do poszczególnych VLAN zostanie ustalone na etapie dialogu technicznego pomiędzy OSD i OK.</w:t>
      </w:r>
    </w:p>
    <w:p w14:paraId="0B24A811" w14:textId="77777777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zakresie sieci dostępowej usługi abonenckie będą realizowane zgodnie z architekturą usług </w:t>
      </w:r>
      <w:r w:rsidRPr="002E75D2">
        <w:rPr>
          <w:rFonts w:ascii="Lato Light" w:hAnsi="Lato Light" w:cs="Lato Light"/>
          <w:sz w:val="22"/>
          <w:szCs w:val="22"/>
          <w:lang w:val="pl-PL"/>
        </w:rPr>
        <w:lastRenderedPageBreak/>
        <w:t xml:space="preserve">świadczonych detalicznie przez OSD i obejmować dostęp do Lokalnej pętli abonenckiej wraz z jej utrzymaniem oraz transmisją do PDU BSA. </w:t>
      </w:r>
    </w:p>
    <w:p w14:paraId="18504256" w14:textId="77777777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ramach dostępu na poziomie Ethernet OSD zapewnia OK funkcjonalność następujących elementów Sieci: </w:t>
      </w:r>
    </w:p>
    <w:p w14:paraId="5A0D8C85" w14:textId="77777777" w:rsidR="00582C13" w:rsidRPr="002E75D2" w:rsidRDefault="00582C13" w:rsidP="002E75D2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Lokalnych pętli abonenckich lub w przypadku sieci radiowych odcinka sieci ostatniej mili wraz z kartami na urządzeniach IP DSLAM/ DSLAM Hybrydowy/OLT, do których przyłączone są Lokalne pętle abonenckie bądź urządzeniach stacji bazowej sieci radiowej, na których możliwa jest realizacja szerokopasmowej transmisji danych, </w:t>
      </w:r>
    </w:p>
    <w:p w14:paraId="54D4BBC2" w14:textId="77777777" w:rsidR="00582C13" w:rsidRPr="002E75D2" w:rsidRDefault="00582C13" w:rsidP="002E75D2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sieci transmisji danych – sieci Ethernet, urządzeń IP DSLAM/ DSLAM Hybrydowy/OLT (poza kartami, do których przyłączone są Lokalne pętle abonenckie)/ radiolinii zapewniających transmisję danych pomiędzy abonenckimi odcinkami ostatniej mili udostępnionymi OK w PDU, </w:t>
      </w:r>
    </w:p>
    <w:p w14:paraId="0033DB78" w14:textId="77777777" w:rsidR="00582C13" w:rsidRPr="002E75D2" w:rsidRDefault="00582C13" w:rsidP="002E75D2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węzłów Ethernet, przy których realizowane są PDU. </w:t>
      </w:r>
    </w:p>
    <w:p w14:paraId="607743D6" w14:textId="1447E786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OSD oferuje OK dla każdego gospodarstwa domowego w PA znajdującym się zasięgu Sieci </w:t>
      </w:r>
      <w:r w:rsidR="003E453B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 zarówno usługę BSA wraz z urządzeniem CPE, jak też bez urządzenia CPE. OK dla usługi BSA nie może używać CPE niekompatybilnych z węzłami OLT Sieci. </w:t>
      </w:r>
    </w:p>
    <w:p w14:paraId="5A726041" w14:textId="77777777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OK, który korzysta z usługi BSA i stosuje własne urządzenie CPE w tym ONT, podaje OSD wszystkie niezbędne dane i informacje dotyczące CPE w celu zapewnienia integralności sieci i świadczenia usług. </w:t>
      </w:r>
    </w:p>
    <w:p w14:paraId="3B9CF638" w14:textId="77777777" w:rsidR="00DB666C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Dostęp do PDU dla usługi BSA nie powinien być ograniczony, a każdy OK powinien mieć możliwość wprowadzenia do tego PDU swoich włókien światłowodowych. </w:t>
      </w:r>
    </w:p>
    <w:p w14:paraId="6E80CAD1" w14:textId="509D3F94" w:rsidR="00582C13" w:rsidRPr="002E75D2" w:rsidRDefault="00582C13" w:rsidP="002E75D2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Stroną zarządzającą VLAN różnych OK jest OSD.</w:t>
      </w:r>
    </w:p>
    <w:p w14:paraId="4A86EA22" w14:textId="51857448" w:rsidR="00CE3706" w:rsidRPr="002E75D2" w:rsidRDefault="00CE3706" w:rsidP="002E75D2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 w:rsidR="00F12497"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3</w:t>
      </w: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. Postanowienia szczególne dla poziomu IP Niezarządzany</w:t>
      </w:r>
    </w:p>
    <w:p w14:paraId="77855599" w14:textId="77777777" w:rsidR="00354A7A" w:rsidRPr="002E75D2" w:rsidRDefault="00354A7A" w:rsidP="002E75D2">
      <w:pPr>
        <w:pStyle w:val="Style1"/>
        <w:numPr>
          <w:ilvl w:val="0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Dostęp na poziomie IP Niezarządzanym jest realizowany jako odsprzedaż Usług Detalicznych świadczonych przez OSD rozumianych jako sprzedaż własnych usług szerokopasmowych w oparciu o profile udostępnione przez OSD, w tym z zapewnieniem dostępu do sieci Internet. </w:t>
      </w:r>
    </w:p>
    <w:p w14:paraId="5131D53A" w14:textId="4CF2E7EF" w:rsidR="00354A7A" w:rsidRPr="002E75D2" w:rsidRDefault="00354A7A" w:rsidP="002E75D2">
      <w:pPr>
        <w:pStyle w:val="Style1"/>
        <w:numPr>
          <w:ilvl w:val="0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OSD zapewnia OK funkcjonalność następujących elementów Sieci </w:t>
      </w:r>
      <w:r w:rsidR="003E453B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: </w:t>
      </w:r>
    </w:p>
    <w:p w14:paraId="7FCDFBA4" w14:textId="77777777" w:rsidR="00354A7A" w:rsidRPr="002E75D2" w:rsidRDefault="00354A7A" w:rsidP="002E75D2">
      <w:pPr>
        <w:pStyle w:val="Style1"/>
        <w:numPr>
          <w:ilvl w:val="1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Lokalnych pętli abonenckich lub w przypadku sieci radiowych odcinka sieci ostatniej mili wraz z kartami na urządzeniach DSLAM/ IP DSLAM/ DSLAM Hybrydowy/OLT, do których przyłączone są Lokalne pętle abonenckie bądź urządzeniach stacji bazowej sieci radiowej, na których możliwa jest realizacja szerokopasmowej transmisji danych, </w:t>
      </w:r>
    </w:p>
    <w:p w14:paraId="1C3BC029" w14:textId="77777777" w:rsidR="00354A7A" w:rsidRPr="002E75D2" w:rsidRDefault="00354A7A" w:rsidP="002E75D2">
      <w:pPr>
        <w:pStyle w:val="Style1"/>
        <w:numPr>
          <w:ilvl w:val="1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sieci transmisji danych – Sieci IP, urządzeń BRAS bądź innych realizujących funkcję dostępu do sieci IP, Sieci Ethernet i urządzeń DSLAM/ IP DSLAM/ DSLAM Hybrydowy/OLT (poza kartami, do których przyłączone są Lokalne pętle abonenckie) lub radiolinie. </w:t>
      </w:r>
    </w:p>
    <w:p w14:paraId="3B47A8DB" w14:textId="77777777" w:rsidR="00354A7A" w:rsidRPr="002E75D2" w:rsidRDefault="00354A7A" w:rsidP="002E75D2">
      <w:pPr>
        <w:pStyle w:val="Style1"/>
        <w:numPr>
          <w:ilvl w:val="0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OSD realizuje całość usługi BSA od strony technicznej, o jakości nie gorszej niż Usługa Detaliczna świadczona przez OSD. </w:t>
      </w:r>
    </w:p>
    <w:p w14:paraId="4BFF7DA8" w14:textId="77777777" w:rsidR="00D07E57" w:rsidRPr="002E75D2" w:rsidRDefault="00354A7A" w:rsidP="002E75D2">
      <w:pPr>
        <w:pStyle w:val="Style1"/>
        <w:numPr>
          <w:ilvl w:val="0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OSD zapewnia aplikację na CPE, za pomocą której następuje dokonanie rejestracji Abonenta OK. OSD zapewni, aby w trakcie procesu rejestracji Abonenta OK nie były prezentowane znaki towarowe ani reklamy. </w:t>
      </w:r>
    </w:p>
    <w:p w14:paraId="206337ED" w14:textId="3FAC31CE" w:rsidR="00CE3706" w:rsidRPr="002E75D2" w:rsidRDefault="00354A7A" w:rsidP="002E75D2">
      <w:pPr>
        <w:pStyle w:val="Style1"/>
        <w:numPr>
          <w:ilvl w:val="0"/>
          <w:numId w:val="3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lastRenderedPageBreak/>
        <w:t>Pomoc techniczną pierwszej linii wsparcia oraz obsługę reklamacji Abonenckich zapewnia OK.</w:t>
      </w:r>
    </w:p>
    <w:p w14:paraId="2CC9F868" w14:textId="56C40CE7" w:rsidR="00D07E57" w:rsidRPr="002E75D2" w:rsidRDefault="00D07E57" w:rsidP="002E75D2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 w:rsidR="003E453B"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4</w:t>
      </w: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. Prognozy BSA</w:t>
      </w:r>
    </w:p>
    <w:p w14:paraId="204759D2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OK raz na Kwartał przesyła do OSD za pośrednictwem SK Prognozę określającą: </w:t>
      </w:r>
    </w:p>
    <w:p w14:paraId="6C4D9166" w14:textId="27501619" w:rsidR="00850376" w:rsidRPr="002E75D2" w:rsidRDefault="00850376" w:rsidP="002E75D2">
      <w:pPr>
        <w:pStyle w:val="Style1"/>
        <w:numPr>
          <w:ilvl w:val="1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przewidywaną liczbę </w:t>
      </w:r>
      <w:r w:rsidR="00D8620C" w:rsidRPr="002E75D2">
        <w:rPr>
          <w:rFonts w:ascii="Lato Light" w:hAnsi="Lato Light" w:cs="Lato Light"/>
          <w:sz w:val="22"/>
          <w:szCs w:val="22"/>
          <w:lang w:val="pl-PL"/>
        </w:rPr>
        <w:t>PA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D8620C" w:rsidRPr="002E75D2">
        <w:rPr>
          <w:rFonts w:ascii="Lato Light" w:hAnsi="Lato Light" w:cs="Lato Light"/>
          <w:sz w:val="22"/>
          <w:szCs w:val="22"/>
          <w:lang w:val="pl-PL"/>
        </w:rPr>
        <w:t xml:space="preserve">w których 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Usługa będzie świadczona, </w:t>
      </w:r>
    </w:p>
    <w:p w14:paraId="76CFDFAA" w14:textId="7ADF2DF7" w:rsidR="00850376" w:rsidRPr="002E75D2" w:rsidRDefault="00850376" w:rsidP="002E75D2">
      <w:pPr>
        <w:pStyle w:val="Style1"/>
        <w:numPr>
          <w:ilvl w:val="1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przewidywaną liczbę oraz typy interfejsów w </w:t>
      </w:r>
      <w:r w:rsidR="00FF5EAF" w:rsidRPr="002E75D2">
        <w:rPr>
          <w:rFonts w:ascii="Lato Light" w:hAnsi="Lato Light" w:cs="Lato Light"/>
          <w:sz w:val="22"/>
          <w:szCs w:val="22"/>
          <w:lang w:val="pl-PL"/>
        </w:rPr>
        <w:t>PWR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, z których zamierza korzystać dla potrzeb świadczenia Usług Detalicznych. </w:t>
      </w:r>
    </w:p>
    <w:p w14:paraId="1FC46AAE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Prognozy przygotowane przez OK powinny zostać przesłane do OSD nie później niż 1 miesiąc przed rozpoczęciem kwartału kalendarzowego, którego dotyczą, przy czym pierwszą Prognozę OK prześle w dniu zawarcia Umowy. </w:t>
      </w:r>
    </w:p>
    <w:p w14:paraId="4D3D5AAB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Jeżeli OSD wykaże, że występujące w tym okresie Awarie w świadczeniu usługi BSA spowodowane są błędnymi Prognozami dostarczonymi przez OK, OSD nie ponosi z tego tytułu odpowiedzialności i nie wypłaca kar umownych lub bonifikaty przewidzianych na tę okoliczność. </w:t>
      </w:r>
    </w:p>
    <w:p w14:paraId="45CC3A92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Liczba Zamówień prognozowana na dany kwartał kalendarzowy będzie porównywana z rzeczywistymi Zamówieniami złożonymi w tym kwartale. </w:t>
      </w:r>
    </w:p>
    <w:p w14:paraId="46EFD4D2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ramach Prognozy Zamówień na usługi BSA podawane są ilości i rodzaj interfejsów fizycznych dla poszczególnych PDU. OK przestrzega górnych i dolnych limitów na prognozowany okres jednego kwartału kalendarzowego tj. +/- 20% dla usługi BSA. </w:t>
      </w:r>
    </w:p>
    <w:p w14:paraId="79C457B3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przypadku przekroczenia górnego limitu odchyleń wskazanego w ust. 5 powyżej, OSD dołoży starań, aby dostarczyć usługę BSA, z zastrzeżeniem, że w wypadku Zamówień przekraczających górny limit odchyleń OSD nie gwarantuje terminowości ich realizowania, a OK nie nalicza OSD kary umownej za nieterminowe realizowanie Zamówień. </w:t>
      </w:r>
    </w:p>
    <w:p w14:paraId="60F8F4BF" w14:textId="6C6DE77F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Dla zapewnienia dokładności składanych Prognoz i uniknięcia rozbudowywania zbędnej pojemności w Sieci </w:t>
      </w:r>
      <w:r w:rsidR="003E453B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, na OK zostanie nałożona opłata: </w:t>
      </w:r>
    </w:p>
    <w:p w14:paraId="0600495B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Opłata = ((1 + </w:t>
      </w:r>
      <w:proofErr w:type="spellStart"/>
      <w:r w:rsidRPr="002E75D2">
        <w:rPr>
          <w:rFonts w:ascii="Lato Light" w:hAnsi="Lato Light" w:cs="Lato Light"/>
          <w:sz w:val="22"/>
          <w:szCs w:val="22"/>
          <w:lang w:val="pl-PL"/>
        </w:rPr>
        <w:t>δmax</w:t>
      </w:r>
      <w:proofErr w:type="spellEnd"/>
      <w:r w:rsidRPr="002E75D2">
        <w:rPr>
          <w:rFonts w:ascii="Lato Light" w:hAnsi="Lato Light" w:cs="Lato Light"/>
          <w:sz w:val="22"/>
          <w:szCs w:val="22"/>
          <w:lang w:val="pl-PL"/>
        </w:rPr>
        <w:t xml:space="preserve">) x P - Z) x S </w:t>
      </w:r>
    </w:p>
    <w:p w14:paraId="653E0644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proofErr w:type="spellStart"/>
      <w:r w:rsidRPr="002E75D2">
        <w:rPr>
          <w:rFonts w:ascii="Lato Light" w:hAnsi="Lato Light" w:cs="Lato Light"/>
          <w:sz w:val="22"/>
          <w:szCs w:val="22"/>
          <w:lang w:val="pl-PL"/>
        </w:rPr>
        <w:t>δmax</w:t>
      </w:r>
      <w:proofErr w:type="spellEnd"/>
      <w:r w:rsidRPr="002E75D2">
        <w:rPr>
          <w:rFonts w:ascii="Lato Light" w:hAnsi="Lato Light" w:cs="Lato Light"/>
          <w:sz w:val="22"/>
          <w:szCs w:val="22"/>
          <w:lang w:val="pl-PL"/>
        </w:rPr>
        <w:t xml:space="preserve"> – dolny limit odchyleń, o których mowa w ust. 5 powyżej, </w:t>
      </w:r>
    </w:p>
    <w:p w14:paraId="22EE6293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 – liczba Zamówień w Prognozie na dany okres, </w:t>
      </w:r>
    </w:p>
    <w:p w14:paraId="358DC526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Z – liczba zamówionych Usług na dany okres, </w:t>
      </w:r>
    </w:p>
    <w:p w14:paraId="43C02C5C" w14:textId="430F1B0E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S – jednorazowa opłata za uruchomienie odpowiednia dla prognozowanej Usługi. </w:t>
      </w:r>
    </w:p>
    <w:p w14:paraId="0CA54D28" w14:textId="77777777" w:rsidR="00850376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Wielkość prognozowana na dany kwartał kalendarzowy dla PDU, które w danym kwartale zostały ujęte w Prognozie Rozbudowy Zasięgu jest korygowana przez OSD o stosunek faktycznej liczby oddanych PA do liczby PA wskazanych w Prognozie Rozbudowy Zasięgu. Dla tych PDU liczba Zamówień w Prognozie na dany okres jest liczona zgodnie ze wzorem a następnie zaokrąglona do liczby całkowitej: </w:t>
      </w:r>
    </w:p>
    <w:p w14:paraId="4591545F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P = </w:t>
      </w:r>
      <w:proofErr w:type="spellStart"/>
      <w:r w:rsidRPr="002E75D2">
        <w:rPr>
          <w:rFonts w:ascii="Lato Light" w:hAnsi="Lato Light" w:cs="Lato Light"/>
          <w:sz w:val="22"/>
          <w:szCs w:val="22"/>
          <w:lang w:val="pl-PL"/>
        </w:rPr>
        <w:t>Pzłożona</w:t>
      </w:r>
      <w:proofErr w:type="spellEnd"/>
      <w:r w:rsidRPr="002E75D2">
        <w:rPr>
          <w:rFonts w:ascii="Lato Light" w:hAnsi="Lato Light" w:cs="Lato Light"/>
          <w:sz w:val="22"/>
          <w:szCs w:val="22"/>
          <w:lang w:val="pl-PL"/>
        </w:rPr>
        <w:t xml:space="preserve"> x (1 + (LPA uruchomione - LPA plan)/(LPA istniejące + LPA Plan)) </w:t>
      </w:r>
    </w:p>
    <w:p w14:paraId="41103A9C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gdzie </w:t>
      </w:r>
    </w:p>
    <w:p w14:paraId="01A6722E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proofErr w:type="spellStart"/>
      <w:r w:rsidRPr="002E75D2">
        <w:rPr>
          <w:rFonts w:ascii="Lato Light" w:hAnsi="Lato Light" w:cs="Lato Light"/>
          <w:sz w:val="22"/>
          <w:szCs w:val="22"/>
          <w:lang w:val="pl-PL"/>
        </w:rPr>
        <w:t>Pzłożona</w:t>
      </w:r>
      <w:proofErr w:type="spellEnd"/>
      <w:r w:rsidRPr="002E75D2">
        <w:rPr>
          <w:rFonts w:ascii="Lato Light" w:hAnsi="Lato Light" w:cs="Lato Light"/>
          <w:sz w:val="22"/>
          <w:szCs w:val="22"/>
          <w:lang w:val="pl-PL"/>
        </w:rPr>
        <w:t xml:space="preserve"> – liczba prognozowanych Zamówień na dany Kwartał, która została złożona przez OK w Prognozie, </w:t>
      </w:r>
    </w:p>
    <w:p w14:paraId="1DAA7814" w14:textId="77777777" w:rsidR="00850376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lastRenderedPageBreak/>
        <w:t xml:space="preserve">LPA uruchomione – liczba PA, dla których uruchomione zostało świadczenie Usług Dostępowych w danym kwartale kalendarzowym, </w:t>
      </w:r>
    </w:p>
    <w:p w14:paraId="4B7A4BC2" w14:textId="77777777" w:rsidR="005C551E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LPA plan – liczba PA, dla których OSD planował uruchomić świadczenie Usług Dostępowych w danym kwartale kalendarzowym zgodnie z Prognozą Rozbudowy Zasięgu na ten Kwartał (jeżeli LPA plan &gt; LPA uruchomione to LPA plan = LPA uruchomione ), </w:t>
      </w:r>
    </w:p>
    <w:p w14:paraId="3F0DA756" w14:textId="77777777" w:rsidR="005C551E" w:rsidRPr="002E75D2" w:rsidRDefault="00850376" w:rsidP="002E75D2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LPA istniejące – liczba PA, które zostały uruchomione w okresie wcześniejszym, którego nie dotyczy Prognoza. </w:t>
      </w:r>
    </w:p>
    <w:p w14:paraId="2BFE1D04" w14:textId="3548CD36" w:rsidR="00D07E57" w:rsidRPr="002E75D2" w:rsidRDefault="00850376" w:rsidP="002E75D2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OK może aktualizować swoją Prognozę, a aktualizacja Prognozy może odbywać się z wykorzystaniem wzoru przedstawionego w ust. 8 powyżej. W przypadku aktualizacji Prognozy przez OK, ma ona nastąpić w terminie 10 DR od dnia publikacji zaktualizowanej Prognozy Rozbudowy Zasięgu przez OSD.</w:t>
      </w:r>
    </w:p>
    <w:p w14:paraId="54B4F2E4" w14:textId="5B1765E7" w:rsidR="00EB5765" w:rsidRPr="002E75D2" w:rsidRDefault="00EB5765" w:rsidP="002E75D2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 w:rsidR="003E453B"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5</w:t>
      </w: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. Zarządzanie ONT</w:t>
      </w:r>
    </w:p>
    <w:p w14:paraId="50459D5F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ramach uruchomienia usługi BSA, ONT może według wyboru OK stanowić własność: </w:t>
      </w:r>
    </w:p>
    <w:p w14:paraId="19B32858" w14:textId="77777777" w:rsidR="00A02AE6" w:rsidRPr="002E75D2" w:rsidRDefault="00A02AE6" w:rsidP="002E75D2">
      <w:pPr>
        <w:pStyle w:val="Style1"/>
        <w:numPr>
          <w:ilvl w:val="1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OSD – w takim przypadku OSD instaluje ONT w lokalu Abonenta. Koszty związane z obsługą Awarii ONT obciążają OSD z zastrzeżeniem, iż za uszkodzenia łącza oraz ONT związane z niewłaściwym użytkowaniem odpowiedzialność ponosi OK lub Abonent (w przypadku zawarcia odrębnej umowy na użytkowanie ONT pomiędzy OSD a Abonentem), </w:t>
      </w:r>
    </w:p>
    <w:p w14:paraId="091F81DA" w14:textId="77777777" w:rsidR="00A02AE6" w:rsidRPr="002E75D2" w:rsidRDefault="00A02AE6" w:rsidP="002E75D2">
      <w:pPr>
        <w:pStyle w:val="Style1"/>
        <w:numPr>
          <w:ilvl w:val="1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OK – w takim przypadku OK instaluje ONT w lokalu Abonenta oraz podaje OSD wszystkie niezbędne dane i informacje dotyczące ONT, ustala z OSD szczegółowe warunki współpracy oraz przeprowadza testy w celu zapewnienia integralności sieci i świadczenia usług. OK może również zlecić OSD dostarczenie i montaż swoich ONT na podstawie odrębnej umowy, przy czym warunki tej umowy nie są ujęte w Rekomendacjach. </w:t>
      </w:r>
    </w:p>
    <w:p w14:paraId="18C53F6C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przypadku zaistnienia konieczności wymiany uszkodzonego ONT, Strona będąca właścicielem ONT wymienia to urządzenie. </w:t>
      </w:r>
    </w:p>
    <w:p w14:paraId="621EC0B0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Ust 4-9 poniżej mają swoje zastosowanie w modelu, gdzie ONT stanowi własność OSD (ONT OSD), a odpowiedzialność za niewłaściwe użytkowanie ponosi OK. </w:t>
      </w:r>
    </w:p>
    <w:p w14:paraId="50D31174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OK zapewnia, że Abonent będzie używał ONT OSD zgodnie z jego przeznaczeniem i wymogami prawidłowej eksploatacji oraz, że zapewni przedmiotowemu ONT należytą ochronę przed zniszczeniem lub utratą. Z tego tytułu OK ponosi odpowiedzialność względem OSD. </w:t>
      </w:r>
    </w:p>
    <w:p w14:paraId="4C517019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Obsługa zgłoszeń uszkodzeń ONT OSD odbywa się zgodnie z zasadami obsługi Awarii. </w:t>
      </w:r>
    </w:p>
    <w:p w14:paraId="6B464A91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przypadku, gdy nie jest konieczny zwrot ONT OSD (np. Zmiana Dostawcy), Strony ustalą sposób weryfikacji stanu ONT. </w:t>
      </w:r>
    </w:p>
    <w:p w14:paraId="02A79491" w14:textId="77777777" w:rsidR="00A02AE6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W przypadku konieczności zwrotu ONT OSD, OK jest zobowiązany zwrócić ONT OSD w stanie niepogorszonym, z uwzględnieniem stopnia jego zużycia wynikającego z prawidłowej eksploatacji. </w:t>
      </w:r>
    </w:p>
    <w:p w14:paraId="2FE62BB4" w14:textId="77777777" w:rsidR="00290382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 xml:space="preserve">Zwrot ONT OSD przez OK następuje w terminie 10 DR od daty otrzymania przez OK ONT od Abonenta, przy czym nie może on nastąpić później niż po upływie 30 dni kalendarzowych </w:t>
      </w:r>
      <w:r w:rsidRPr="002E75D2">
        <w:rPr>
          <w:rFonts w:ascii="Lato Light" w:hAnsi="Lato Light" w:cs="Lato Light"/>
          <w:sz w:val="22"/>
          <w:szCs w:val="22"/>
          <w:lang w:val="pl-PL"/>
        </w:rPr>
        <w:lastRenderedPageBreak/>
        <w:t xml:space="preserve">od upływu wypowiedzenia Zamówienia Usługi Dostępowej. Jeżeli w ciągu tego terminu zwrot jest niemożliwy, OSD wyznacza dodatkowy termin na zwrot nie krótszy niż 5 DR. </w:t>
      </w:r>
    </w:p>
    <w:p w14:paraId="7CEF54BB" w14:textId="7F95C652" w:rsidR="00EB5765" w:rsidRPr="002E75D2" w:rsidRDefault="00A02AE6" w:rsidP="002E75D2">
      <w:pPr>
        <w:pStyle w:val="Style1"/>
        <w:numPr>
          <w:ilvl w:val="0"/>
          <w:numId w:val="5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Przekazanie oraz zwrot elementów Infrastruktury telekomunikacyjnej następuje na podstawie protokołu zdawczo-odbiorczego sporządzonego przez Strony w momencie przekazania lub zwrotu ONT.</w:t>
      </w:r>
    </w:p>
    <w:p w14:paraId="6FADE92A" w14:textId="2D4C28CA" w:rsidR="004B72BA" w:rsidRPr="002E75D2" w:rsidRDefault="004B72BA" w:rsidP="002E75D2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 w:rsidR="003E453B"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6</w:t>
      </w:r>
      <w:r w:rsidRPr="002E75D2">
        <w:rPr>
          <w:rFonts w:ascii="Lato Light" w:hAnsi="Lato Light" w:cs="Lato Light"/>
          <w:b/>
          <w:bCs/>
          <w:sz w:val="22"/>
          <w:szCs w:val="22"/>
          <w:lang w:val="pl-PL"/>
        </w:rPr>
        <w:t>. Połączenie sieci</w:t>
      </w:r>
    </w:p>
    <w:p w14:paraId="2780D1E4" w14:textId="772EB92E" w:rsidR="00E130E7" w:rsidRPr="002E75D2" w:rsidRDefault="00E130E7" w:rsidP="002E75D2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Dostęp do P</w:t>
      </w:r>
      <w:r w:rsidR="009853FF" w:rsidRPr="002E75D2">
        <w:rPr>
          <w:rFonts w:ascii="Lato Light" w:hAnsi="Lato Light" w:cs="Lato Light"/>
          <w:sz w:val="22"/>
          <w:szCs w:val="22"/>
          <w:lang w:val="pl-PL"/>
        </w:rPr>
        <w:t>WR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 odbywa się poprzez Fizyczny Punkt Styku Sieci (FPSS), czyli miejsce (niebędące Zakończeniem sieci), w którym następuje fizyczne połączenie Sieci OK (lub sieci innego przedsiębiorcy telekomunikacyjnego, z którym OK zawarł właściwą umowę) z Siecią </w:t>
      </w:r>
      <w:r w:rsidR="001466B1" w:rsidRPr="002E75D2">
        <w:rPr>
          <w:rFonts w:ascii="Lato Light" w:hAnsi="Lato Light" w:cs="Lato Light"/>
          <w:sz w:val="22"/>
          <w:szCs w:val="22"/>
          <w:lang w:val="pl-PL"/>
        </w:rPr>
        <w:t>FS</w:t>
      </w:r>
      <w:r w:rsidRPr="002E75D2">
        <w:rPr>
          <w:rFonts w:ascii="Lato Light" w:hAnsi="Lato Light" w:cs="Lato Light"/>
          <w:sz w:val="22"/>
          <w:szCs w:val="22"/>
          <w:lang w:val="pl-PL"/>
        </w:rPr>
        <w:t>.</w:t>
      </w:r>
    </w:p>
    <w:p w14:paraId="52567EA3" w14:textId="5A11ABAC" w:rsidR="00FE5E8A" w:rsidRPr="002E75D2" w:rsidRDefault="00B60FC6" w:rsidP="002E75D2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b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Jeżeli będzie to niezbędne, ś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wiadczenie Usługi będzie realizowane po uprzednim połączeniu Sieci </w:t>
      </w:r>
      <w:r w:rsidR="001466B1" w:rsidRPr="002E75D2">
        <w:rPr>
          <w:rFonts w:ascii="Lato Light" w:hAnsi="Lato Light" w:cs="Lato Light"/>
          <w:sz w:val="22"/>
          <w:szCs w:val="22"/>
          <w:lang w:val="pl-PL"/>
        </w:rPr>
        <w:t xml:space="preserve">FS 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>z Siecią OK. OSD oferuje dwa tryby połączenia</w:t>
      </w:r>
      <w:r w:rsidR="008E070D" w:rsidRPr="002E75D2">
        <w:rPr>
          <w:rFonts w:ascii="Lato Light" w:hAnsi="Lato Light" w:cs="Lato Light"/>
          <w:sz w:val="22"/>
          <w:szCs w:val="22"/>
          <w:lang w:val="pl-PL"/>
        </w:rPr>
        <w:t>, opisane w Umowie Ramowej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: </w:t>
      </w:r>
    </w:p>
    <w:p w14:paraId="5B451C30" w14:textId="718867B7" w:rsidR="00FE5E8A" w:rsidRPr="002E75D2" w:rsidRDefault="001466B1" w:rsidP="002E75D2">
      <w:pPr>
        <w:pStyle w:val="Style1"/>
        <w:numPr>
          <w:ilvl w:val="1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P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>ołączeni</w:t>
      </w:r>
      <w:r w:rsidRPr="002E75D2">
        <w:rPr>
          <w:rFonts w:ascii="Lato Light" w:hAnsi="Lato Light" w:cs="Lato Light"/>
          <w:sz w:val="22"/>
          <w:szCs w:val="22"/>
          <w:lang w:val="pl-PL"/>
        </w:rPr>
        <w:t>e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 Sieci w trybie kolokacji, oraz </w:t>
      </w:r>
    </w:p>
    <w:p w14:paraId="055749A3" w14:textId="513DE360" w:rsidR="00FE5E8A" w:rsidRPr="002E75D2" w:rsidRDefault="001466B1" w:rsidP="002E75D2">
      <w:pPr>
        <w:pStyle w:val="Style1"/>
        <w:numPr>
          <w:ilvl w:val="1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P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>ołączeni</w:t>
      </w:r>
      <w:r w:rsidRPr="002E75D2">
        <w:rPr>
          <w:rFonts w:ascii="Lato Light" w:hAnsi="Lato Light" w:cs="Lato Light"/>
          <w:sz w:val="22"/>
          <w:szCs w:val="22"/>
          <w:lang w:val="pl-PL"/>
        </w:rPr>
        <w:t>e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 Sieci w trybie liniowym</w:t>
      </w:r>
      <w:r w:rsidRPr="002E75D2">
        <w:rPr>
          <w:rFonts w:ascii="Lato Light" w:hAnsi="Lato Light" w:cs="Lato Light"/>
          <w:sz w:val="22"/>
          <w:szCs w:val="22"/>
          <w:lang w:val="pl-PL"/>
        </w:rPr>
        <w:t>.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 </w:t>
      </w:r>
    </w:p>
    <w:p w14:paraId="157AB5D6" w14:textId="2DF13BEC" w:rsidR="00FE5E8A" w:rsidRPr="002E75D2" w:rsidRDefault="00FF038A" w:rsidP="002E75D2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5D2">
        <w:rPr>
          <w:rFonts w:ascii="Lato Light" w:hAnsi="Lato Light" w:cs="Lato Light"/>
          <w:sz w:val="22"/>
          <w:szCs w:val="22"/>
          <w:lang w:val="pl-PL"/>
        </w:rPr>
        <w:t>W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ybór </w:t>
      </w:r>
      <w:r w:rsidRPr="002E75D2">
        <w:rPr>
          <w:rFonts w:ascii="Lato Light" w:hAnsi="Lato Light" w:cs="Lato Light"/>
          <w:sz w:val="22"/>
          <w:szCs w:val="22"/>
          <w:lang w:val="pl-PL"/>
        </w:rPr>
        <w:t xml:space="preserve">rodzaju połączenia sieci 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 xml:space="preserve">należy do OK, przy czym  wybór będzie zweryfikowany przez OSD z uwzględnieniem technicznych możliwości </w:t>
      </w:r>
      <w:r w:rsidRPr="002E75D2">
        <w:rPr>
          <w:rFonts w:ascii="Lato Light" w:hAnsi="Lato Light" w:cs="Lato Light"/>
          <w:sz w:val="22"/>
          <w:szCs w:val="22"/>
          <w:lang w:val="pl-PL"/>
        </w:rPr>
        <w:t>PWR</w:t>
      </w:r>
      <w:r w:rsidR="00FE5E8A" w:rsidRPr="002E75D2">
        <w:rPr>
          <w:rFonts w:ascii="Lato Light" w:hAnsi="Lato Light" w:cs="Lato Light"/>
          <w:sz w:val="22"/>
          <w:szCs w:val="22"/>
          <w:lang w:val="pl-PL"/>
        </w:rPr>
        <w:t>. W przypadku braku takich możliwości OSD przedstawi uzasadnienie wyjaśniające przyczynę występujących ograniczeń oraz wskaże propozycję zastosowania rozwiązania alternatywnego.</w:t>
      </w:r>
    </w:p>
    <w:p w14:paraId="688C2FEF" w14:textId="142C01B5" w:rsidR="005B1A5C" w:rsidRPr="002E75D2" w:rsidRDefault="005B1A5C" w:rsidP="002E75D2">
      <w:pPr>
        <w:pStyle w:val="Akapitzlist"/>
        <w:numPr>
          <w:ilvl w:val="0"/>
          <w:numId w:val="8"/>
        </w:numPr>
        <w:suppressAutoHyphens w:val="0"/>
        <w:contextualSpacing w:val="0"/>
        <w:rPr>
          <w:rFonts w:ascii="Lato Light" w:hAnsi="Lato Light" w:cs="Lato Light"/>
          <w:sz w:val="22"/>
          <w:szCs w:val="22"/>
        </w:rPr>
      </w:pPr>
      <w:r w:rsidRPr="002E75D2">
        <w:rPr>
          <w:rFonts w:ascii="Lato Light" w:hAnsi="Lato Light" w:cs="Lato Light"/>
          <w:sz w:val="22"/>
          <w:szCs w:val="22"/>
        </w:rPr>
        <w:t xml:space="preserve">OK zobowiązuje się do współdziałania z OSD. </w:t>
      </w:r>
    </w:p>
    <w:p w14:paraId="36998BFE" w14:textId="3B41FE25" w:rsidR="00B430C4" w:rsidRPr="002E75D2" w:rsidRDefault="005B1A5C" w:rsidP="002E75D2">
      <w:pPr>
        <w:pStyle w:val="Akapitzlist"/>
        <w:numPr>
          <w:ilvl w:val="0"/>
          <w:numId w:val="8"/>
        </w:numPr>
        <w:suppressAutoHyphens w:val="0"/>
        <w:contextualSpacing w:val="0"/>
        <w:rPr>
          <w:rFonts w:ascii="Lato Light" w:hAnsi="Lato Light" w:cs="Lato Light"/>
          <w:sz w:val="22"/>
          <w:szCs w:val="22"/>
        </w:rPr>
      </w:pPr>
      <w:r w:rsidRPr="002E75D2">
        <w:rPr>
          <w:rFonts w:ascii="Lato Light" w:hAnsi="Lato Light" w:cs="Lato Light"/>
          <w:sz w:val="22"/>
          <w:szCs w:val="22"/>
        </w:rPr>
        <w:t xml:space="preserve">Po połączeniu Sieci </w:t>
      </w:r>
      <w:r w:rsidR="00100FBE" w:rsidRPr="002E75D2">
        <w:rPr>
          <w:rFonts w:ascii="Lato Light" w:hAnsi="Lato Light" w:cs="Lato Light"/>
          <w:sz w:val="22"/>
          <w:szCs w:val="22"/>
        </w:rPr>
        <w:t xml:space="preserve">FS </w:t>
      </w:r>
      <w:r w:rsidRPr="002E75D2">
        <w:rPr>
          <w:rFonts w:ascii="Lato Light" w:hAnsi="Lato Light" w:cs="Lato Light"/>
          <w:sz w:val="22"/>
          <w:szCs w:val="22"/>
        </w:rPr>
        <w:t xml:space="preserve">z </w:t>
      </w:r>
      <w:r w:rsidR="00100FBE" w:rsidRPr="002E75D2">
        <w:rPr>
          <w:rFonts w:ascii="Lato Light" w:hAnsi="Lato Light" w:cs="Lato Light"/>
          <w:sz w:val="22"/>
          <w:szCs w:val="22"/>
        </w:rPr>
        <w:t>s</w:t>
      </w:r>
      <w:r w:rsidRPr="002E75D2">
        <w:rPr>
          <w:rFonts w:ascii="Lato Light" w:hAnsi="Lato Light" w:cs="Lato Light"/>
          <w:sz w:val="22"/>
          <w:szCs w:val="22"/>
        </w:rPr>
        <w:t xml:space="preserve">iecią OK, Strony przystąpią do konfiguracji niezbędnych do świadczenia </w:t>
      </w:r>
      <w:r w:rsidR="00100FBE" w:rsidRPr="002E75D2">
        <w:rPr>
          <w:rFonts w:ascii="Lato Light" w:hAnsi="Lato Light" w:cs="Lato Light"/>
          <w:sz w:val="22"/>
          <w:szCs w:val="22"/>
        </w:rPr>
        <w:t>u</w:t>
      </w:r>
      <w:r w:rsidRPr="002E75D2">
        <w:rPr>
          <w:rFonts w:ascii="Lato Light" w:hAnsi="Lato Light" w:cs="Lato Light"/>
          <w:sz w:val="22"/>
          <w:szCs w:val="22"/>
        </w:rPr>
        <w:t xml:space="preserve">sługi </w:t>
      </w:r>
      <w:r w:rsidR="00100FBE" w:rsidRPr="002E75D2">
        <w:rPr>
          <w:rFonts w:ascii="Lato Light" w:hAnsi="Lato Light" w:cs="Lato Light"/>
          <w:sz w:val="22"/>
          <w:szCs w:val="22"/>
        </w:rPr>
        <w:t xml:space="preserve">BSA </w:t>
      </w:r>
      <w:r w:rsidRPr="002E75D2">
        <w:rPr>
          <w:rFonts w:ascii="Lato Light" w:hAnsi="Lato Light" w:cs="Lato Light"/>
          <w:sz w:val="22"/>
          <w:szCs w:val="22"/>
        </w:rPr>
        <w:t xml:space="preserve">oraz wykonają testy prawidłowego ich działania. Po wykonanych testach, nastąpi podpisanie </w:t>
      </w:r>
      <w:r w:rsidR="00100FBE" w:rsidRPr="002E75D2">
        <w:rPr>
          <w:rFonts w:ascii="Lato Light" w:hAnsi="Lato Light" w:cs="Lato Light"/>
          <w:sz w:val="22"/>
          <w:szCs w:val="22"/>
        </w:rPr>
        <w:t>protokołu</w:t>
      </w:r>
      <w:r w:rsidRPr="002E75D2">
        <w:rPr>
          <w:rFonts w:ascii="Lato Light" w:hAnsi="Lato Light" w:cs="Lato Light"/>
          <w:sz w:val="22"/>
          <w:szCs w:val="22"/>
        </w:rPr>
        <w:t xml:space="preserve">, stwierdzającego </w:t>
      </w:r>
      <w:r w:rsidR="00D54D89" w:rsidRPr="002E75D2">
        <w:rPr>
          <w:rFonts w:ascii="Lato Light" w:hAnsi="Lato Light" w:cs="Lato Light"/>
          <w:sz w:val="22"/>
          <w:szCs w:val="22"/>
        </w:rPr>
        <w:t xml:space="preserve">gotowość do </w:t>
      </w:r>
      <w:r w:rsidRPr="002E75D2">
        <w:rPr>
          <w:rFonts w:ascii="Lato Light" w:hAnsi="Lato Light" w:cs="Lato Light"/>
          <w:sz w:val="22"/>
          <w:szCs w:val="22"/>
        </w:rPr>
        <w:t>rozpoczęci</w:t>
      </w:r>
      <w:r w:rsidR="00D54D89" w:rsidRPr="002E75D2">
        <w:rPr>
          <w:rFonts w:ascii="Lato Light" w:hAnsi="Lato Light" w:cs="Lato Light"/>
          <w:sz w:val="22"/>
          <w:szCs w:val="22"/>
        </w:rPr>
        <w:t>a</w:t>
      </w:r>
      <w:r w:rsidRPr="002E75D2">
        <w:rPr>
          <w:rFonts w:ascii="Lato Light" w:hAnsi="Lato Light" w:cs="Lato Light"/>
          <w:sz w:val="22"/>
          <w:szCs w:val="22"/>
        </w:rPr>
        <w:t xml:space="preserve"> świadczenia </w:t>
      </w:r>
      <w:r w:rsidR="00D54D89" w:rsidRPr="002E75D2">
        <w:rPr>
          <w:rFonts w:ascii="Lato Light" w:hAnsi="Lato Light" w:cs="Lato Light"/>
          <w:sz w:val="22"/>
          <w:szCs w:val="22"/>
        </w:rPr>
        <w:t>u</w:t>
      </w:r>
      <w:r w:rsidRPr="002E75D2">
        <w:rPr>
          <w:rFonts w:ascii="Lato Light" w:hAnsi="Lato Light" w:cs="Lato Light"/>
          <w:sz w:val="22"/>
          <w:szCs w:val="22"/>
        </w:rPr>
        <w:t xml:space="preserve">sługi </w:t>
      </w:r>
      <w:r w:rsidR="00D54D89" w:rsidRPr="002E75D2">
        <w:rPr>
          <w:rFonts w:ascii="Lato Light" w:hAnsi="Lato Light" w:cs="Lato Light"/>
          <w:sz w:val="22"/>
          <w:szCs w:val="22"/>
        </w:rPr>
        <w:t xml:space="preserve">BSA </w:t>
      </w:r>
      <w:r w:rsidRPr="002E75D2">
        <w:rPr>
          <w:rFonts w:ascii="Lato Light" w:hAnsi="Lato Light" w:cs="Lato Light"/>
          <w:sz w:val="22"/>
          <w:szCs w:val="22"/>
        </w:rPr>
        <w:t xml:space="preserve">na rzecz OK. W sytuacji zgłoszenia przez OK </w:t>
      </w:r>
      <w:r w:rsidR="00D54D89" w:rsidRPr="002E75D2">
        <w:rPr>
          <w:rFonts w:ascii="Lato Light" w:hAnsi="Lato Light" w:cs="Lato Light"/>
          <w:sz w:val="22"/>
          <w:szCs w:val="22"/>
        </w:rPr>
        <w:t xml:space="preserve">uzasadnionych </w:t>
      </w:r>
      <w:r w:rsidRPr="002E75D2">
        <w:rPr>
          <w:rFonts w:ascii="Lato Light" w:hAnsi="Lato Light" w:cs="Lato Light"/>
          <w:sz w:val="22"/>
          <w:szCs w:val="22"/>
        </w:rPr>
        <w:t xml:space="preserve">zastrzeżeń, OSD usunie ich przyczyny </w:t>
      </w:r>
      <w:r w:rsidR="00633930" w:rsidRPr="002E75D2">
        <w:rPr>
          <w:rFonts w:ascii="Lato Light" w:hAnsi="Lato Light" w:cs="Lato Light"/>
          <w:sz w:val="22"/>
          <w:szCs w:val="22"/>
        </w:rPr>
        <w:t xml:space="preserve">w uzgodnionym terminie </w:t>
      </w:r>
      <w:r w:rsidRPr="002E75D2">
        <w:rPr>
          <w:rFonts w:ascii="Lato Light" w:hAnsi="Lato Light" w:cs="Lato Light"/>
          <w:sz w:val="22"/>
          <w:szCs w:val="22"/>
        </w:rPr>
        <w:t xml:space="preserve">oraz poinformuje OK o zakończeniu prac i konieczności ponownego podpisania </w:t>
      </w:r>
      <w:r w:rsidR="00633930" w:rsidRPr="002E75D2">
        <w:rPr>
          <w:rFonts w:ascii="Lato Light" w:hAnsi="Lato Light" w:cs="Lato Light"/>
          <w:sz w:val="22"/>
          <w:szCs w:val="22"/>
        </w:rPr>
        <w:t>protokołu</w:t>
      </w:r>
      <w:r w:rsidRPr="002E75D2">
        <w:rPr>
          <w:rFonts w:ascii="Lato Light" w:hAnsi="Lato Light" w:cs="Lato Light"/>
          <w:sz w:val="22"/>
          <w:szCs w:val="22"/>
        </w:rPr>
        <w:t>.</w:t>
      </w:r>
      <w:r w:rsidR="00A01A73" w:rsidRPr="002E75D2">
        <w:rPr>
          <w:rFonts w:ascii="Lato Light" w:hAnsi="Lato Light" w:cs="Lato Light"/>
          <w:sz w:val="22"/>
          <w:szCs w:val="22"/>
        </w:rPr>
        <w:t xml:space="preserve"> </w:t>
      </w:r>
    </w:p>
    <w:sectPr w:rsidR="00B430C4" w:rsidRPr="002E7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421D9" w14:textId="77777777" w:rsidR="00F83C6A" w:rsidRDefault="00F83C6A" w:rsidP="002D66AF">
      <w:pPr>
        <w:spacing w:after="0" w:line="240" w:lineRule="auto"/>
      </w:pPr>
      <w:r>
        <w:separator/>
      </w:r>
    </w:p>
  </w:endnote>
  <w:endnote w:type="continuationSeparator" w:id="0">
    <w:p w14:paraId="57E3A3E2" w14:textId="77777777" w:rsidR="00F83C6A" w:rsidRDefault="00F83C6A" w:rsidP="002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BB453" w14:textId="77777777" w:rsidR="002E75D2" w:rsidRDefault="002E7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18"/>
      </w:rPr>
      <w:id w:val="858313510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547C3E" w14:textId="3BBBA5DB" w:rsidR="0089086B" w:rsidRPr="0089086B" w:rsidRDefault="0089086B">
            <w:pPr>
              <w:pStyle w:val="Stopka"/>
              <w:jc w:val="right"/>
              <w:rPr>
                <w:rFonts w:ascii="Lato Light" w:hAnsi="Lato Light"/>
                <w:sz w:val="22"/>
                <w:szCs w:val="18"/>
              </w:rPr>
            </w:pPr>
            <w:r w:rsidRPr="0089086B">
              <w:rPr>
                <w:rFonts w:ascii="Lato Light" w:hAnsi="Lato Light"/>
                <w:sz w:val="22"/>
                <w:szCs w:val="18"/>
              </w:rPr>
              <w:t xml:space="preserve">Strona </w: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89086B">
              <w:rPr>
                <w:rFonts w:ascii="Lato Light" w:hAnsi="Lato Light"/>
                <w:b/>
                <w:bCs/>
                <w:sz w:val="22"/>
                <w:szCs w:val="18"/>
              </w:rPr>
              <w:instrText>PAGE</w:instrTex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89086B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  <w:r w:rsidRPr="0089086B">
              <w:rPr>
                <w:rFonts w:ascii="Lato Light" w:hAnsi="Lato Light"/>
                <w:sz w:val="22"/>
                <w:szCs w:val="18"/>
              </w:rPr>
              <w:t xml:space="preserve"> z </w: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89086B">
              <w:rPr>
                <w:rFonts w:ascii="Lato Light" w:hAnsi="Lato Light"/>
                <w:b/>
                <w:bCs/>
                <w:sz w:val="22"/>
                <w:szCs w:val="18"/>
              </w:rPr>
              <w:instrText>NUMPAGES</w:instrTex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89086B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89086B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36CF0F" w14:textId="77777777" w:rsidR="0089086B" w:rsidRPr="0089086B" w:rsidRDefault="0089086B">
    <w:pPr>
      <w:pStyle w:val="Stopka"/>
      <w:rPr>
        <w:rFonts w:ascii="Lato Light" w:hAnsi="Lato Light"/>
        <w:sz w:val="22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350CB" w14:textId="77777777" w:rsidR="002E75D2" w:rsidRDefault="002E7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ADA45" w14:textId="77777777" w:rsidR="00F83C6A" w:rsidRDefault="00F83C6A" w:rsidP="002D66AF">
      <w:pPr>
        <w:spacing w:after="0" w:line="240" w:lineRule="auto"/>
      </w:pPr>
      <w:r>
        <w:separator/>
      </w:r>
    </w:p>
  </w:footnote>
  <w:footnote w:type="continuationSeparator" w:id="0">
    <w:p w14:paraId="6BFC8641" w14:textId="77777777" w:rsidR="00F83C6A" w:rsidRDefault="00F83C6A" w:rsidP="002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B1F" w14:textId="77777777" w:rsidR="002E75D2" w:rsidRDefault="002E75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8EFC" w14:textId="2419D45A" w:rsidR="002D66AF" w:rsidRPr="00406A66" w:rsidRDefault="002D66AF" w:rsidP="002D66AF">
    <w:pPr>
      <w:pStyle w:val="Nagwek"/>
      <w:rPr>
        <w:rFonts w:ascii="Lato Light" w:hAnsi="Lato Light"/>
        <w:sz w:val="16"/>
        <w:szCs w:val="16"/>
      </w:rPr>
    </w:pPr>
    <w:r w:rsidRPr="00406A66">
      <w:rPr>
        <w:rFonts w:ascii="Lato Light" w:hAnsi="Lato Light"/>
        <w:sz w:val="16"/>
        <w:szCs w:val="16"/>
      </w:rPr>
      <w:t>Załącznik nr 1 do Ramowych warunków zapewnienia dostępu hurtowego do sieci wykonanych w ramach programów Funduszu Szerokopasmowego przez</w:t>
    </w:r>
    <w:r w:rsidR="00957E64" w:rsidRPr="00406A66">
      <w:rPr>
        <w:rFonts w:ascii="Lato Light" w:hAnsi="Lato Light"/>
        <w:sz w:val="16"/>
        <w:szCs w:val="16"/>
      </w:rPr>
      <w:t>:</w:t>
    </w:r>
    <w:r w:rsidRPr="00406A66">
      <w:rPr>
        <w:rFonts w:ascii="Lato Light" w:hAnsi="Lato Light"/>
        <w:sz w:val="16"/>
        <w:szCs w:val="16"/>
      </w:rPr>
      <w:t xml:space="preserve"> Kamil Turoń, prowadzący działalność gospodarczą pod firmą KAMNET TUROŃ KAMIL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B0FE5" w14:textId="77777777" w:rsidR="002E75D2" w:rsidRDefault="002E7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A09DB"/>
    <w:multiLevelType w:val="hybridMultilevel"/>
    <w:tmpl w:val="75ACE6CE"/>
    <w:lvl w:ilvl="0" w:tplc="57885B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4CA2C2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645C9"/>
    <w:multiLevelType w:val="hybridMultilevel"/>
    <w:tmpl w:val="079A2314"/>
    <w:lvl w:ilvl="0" w:tplc="50C62A5C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54477"/>
    <w:multiLevelType w:val="hybridMultilevel"/>
    <w:tmpl w:val="D65C30E2"/>
    <w:lvl w:ilvl="0" w:tplc="BCE0635E">
      <w:start w:val="1"/>
      <w:numFmt w:val="decimal"/>
      <w:lvlText w:val="%1)"/>
      <w:lvlJc w:val="left"/>
      <w:pPr>
        <w:ind w:left="13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7A204E6"/>
    <w:multiLevelType w:val="hybridMultilevel"/>
    <w:tmpl w:val="5CD4B124"/>
    <w:lvl w:ilvl="0" w:tplc="60D8AB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1E499A"/>
    <w:multiLevelType w:val="hybridMultilevel"/>
    <w:tmpl w:val="C5668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6410E"/>
    <w:multiLevelType w:val="hybridMultilevel"/>
    <w:tmpl w:val="2F4E1A20"/>
    <w:lvl w:ilvl="0" w:tplc="61F2E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A19EA4D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A0557A"/>
    <w:multiLevelType w:val="hybridMultilevel"/>
    <w:tmpl w:val="66FEBE78"/>
    <w:lvl w:ilvl="0" w:tplc="42C84A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8BB8A47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081258"/>
    <w:multiLevelType w:val="hybridMultilevel"/>
    <w:tmpl w:val="CB80874A"/>
    <w:lvl w:ilvl="0" w:tplc="95623F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244FF"/>
    <w:multiLevelType w:val="hybridMultilevel"/>
    <w:tmpl w:val="1DE8A292"/>
    <w:lvl w:ilvl="0" w:tplc="6764F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5001141">
    <w:abstractNumId w:val="2"/>
  </w:num>
  <w:num w:numId="2" w16cid:durableId="1352216873">
    <w:abstractNumId w:val="5"/>
  </w:num>
  <w:num w:numId="3" w16cid:durableId="1361128200">
    <w:abstractNumId w:val="0"/>
  </w:num>
  <w:num w:numId="4" w16cid:durableId="1843617202">
    <w:abstractNumId w:val="7"/>
  </w:num>
  <w:num w:numId="5" w16cid:durableId="907300936">
    <w:abstractNumId w:val="8"/>
  </w:num>
  <w:num w:numId="6" w16cid:durableId="1557275988">
    <w:abstractNumId w:val="10"/>
  </w:num>
  <w:num w:numId="7" w16cid:durableId="1461680512">
    <w:abstractNumId w:val="3"/>
  </w:num>
  <w:num w:numId="8" w16cid:durableId="1477605846">
    <w:abstractNumId w:val="6"/>
  </w:num>
  <w:num w:numId="9" w16cid:durableId="1351493009">
    <w:abstractNumId w:val="4"/>
  </w:num>
  <w:num w:numId="10" w16cid:durableId="509608063">
    <w:abstractNumId w:val="1"/>
  </w:num>
  <w:num w:numId="11" w16cid:durableId="733428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D3"/>
    <w:rsid w:val="000132A4"/>
    <w:rsid w:val="00037F6F"/>
    <w:rsid w:val="000900F2"/>
    <w:rsid w:val="000E58B2"/>
    <w:rsid w:val="00100FBE"/>
    <w:rsid w:val="001466B1"/>
    <w:rsid w:val="001F4CCD"/>
    <w:rsid w:val="00205DAA"/>
    <w:rsid w:val="00263CF5"/>
    <w:rsid w:val="00290382"/>
    <w:rsid w:val="002A203F"/>
    <w:rsid w:val="002D66AF"/>
    <w:rsid w:val="002E75D2"/>
    <w:rsid w:val="003216D3"/>
    <w:rsid w:val="00354A7A"/>
    <w:rsid w:val="003E453B"/>
    <w:rsid w:val="00406A66"/>
    <w:rsid w:val="0043709D"/>
    <w:rsid w:val="00461400"/>
    <w:rsid w:val="004B72BA"/>
    <w:rsid w:val="00582C13"/>
    <w:rsid w:val="005A3103"/>
    <w:rsid w:val="005A59D3"/>
    <w:rsid w:val="005B1A5C"/>
    <w:rsid w:val="005B6D97"/>
    <w:rsid w:val="005C551E"/>
    <w:rsid w:val="00633930"/>
    <w:rsid w:val="00674EC7"/>
    <w:rsid w:val="006A71B2"/>
    <w:rsid w:val="006B743E"/>
    <w:rsid w:val="006D1CFD"/>
    <w:rsid w:val="00705BC3"/>
    <w:rsid w:val="00733962"/>
    <w:rsid w:val="0076212C"/>
    <w:rsid w:val="007A310D"/>
    <w:rsid w:val="007D73EA"/>
    <w:rsid w:val="00850376"/>
    <w:rsid w:val="0089086B"/>
    <w:rsid w:val="008E070D"/>
    <w:rsid w:val="008F78DB"/>
    <w:rsid w:val="00957E64"/>
    <w:rsid w:val="00965E38"/>
    <w:rsid w:val="009853FF"/>
    <w:rsid w:val="00991DF2"/>
    <w:rsid w:val="009B3E01"/>
    <w:rsid w:val="009E1C86"/>
    <w:rsid w:val="00A01A73"/>
    <w:rsid w:val="00A02AE6"/>
    <w:rsid w:val="00A401CC"/>
    <w:rsid w:val="00A53A98"/>
    <w:rsid w:val="00A713AF"/>
    <w:rsid w:val="00A810DD"/>
    <w:rsid w:val="00B430C4"/>
    <w:rsid w:val="00B60FC6"/>
    <w:rsid w:val="00C27205"/>
    <w:rsid w:val="00C27940"/>
    <w:rsid w:val="00C45121"/>
    <w:rsid w:val="00C66E47"/>
    <w:rsid w:val="00C73DE3"/>
    <w:rsid w:val="00CA01C1"/>
    <w:rsid w:val="00CA3C6C"/>
    <w:rsid w:val="00CB6359"/>
    <w:rsid w:val="00CD7B14"/>
    <w:rsid w:val="00CE3706"/>
    <w:rsid w:val="00CE5633"/>
    <w:rsid w:val="00D07E57"/>
    <w:rsid w:val="00D42699"/>
    <w:rsid w:val="00D54D89"/>
    <w:rsid w:val="00D8620C"/>
    <w:rsid w:val="00DB666C"/>
    <w:rsid w:val="00DC14C2"/>
    <w:rsid w:val="00E130E7"/>
    <w:rsid w:val="00E15D09"/>
    <w:rsid w:val="00E51264"/>
    <w:rsid w:val="00E80803"/>
    <w:rsid w:val="00EA532B"/>
    <w:rsid w:val="00EB5765"/>
    <w:rsid w:val="00F12497"/>
    <w:rsid w:val="00F2241F"/>
    <w:rsid w:val="00F249F3"/>
    <w:rsid w:val="00F509DF"/>
    <w:rsid w:val="00F83C6A"/>
    <w:rsid w:val="00F937FF"/>
    <w:rsid w:val="00FB75E8"/>
    <w:rsid w:val="00FE5AE6"/>
    <w:rsid w:val="00FE5E8A"/>
    <w:rsid w:val="00FF038A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84F99"/>
  <w15:chartTrackingRefBased/>
  <w15:docId w15:val="{C44B9327-C5A5-4F71-9D84-189D3556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D3"/>
    <w:pPr>
      <w:suppressAutoHyphens/>
      <w:spacing w:after="120" w:line="276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D3"/>
    <w:rPr>
      <w:b/>
      <w:bCs/>
      <w:smallCaps/>
      <w:color w:val="0F4761" w:themeColor="accent1" w:themeShade="BF"/>
      <w:spacing w:val="5"/>
    </w:rPr>
  </w:style>
  <w:style w:type="character" w:customStyle="1" w:styleId="textbf">
    <w:name w:val="textbf"/>
    <w:rsid w:val="00F937FF"/>
    <w:rPr>
      <w:b/>
      <w:i w:val="0"/>
    </w:rPr>
  </w:style>
  <w:style w:type="paragraph" w:customStyle="1" w:styleId="Style1">
    <w:name w:val="Style 1"/>
    <w:uiPriority w:val="99"/>
    <w:rsid w:val="00F937FF"/>
    <w:pPr>
      <w:widowControl w:val="0"/>
      <w:autoSpaceDE w:val="0"/>
      <w:autoSpaceDN w:val="0"/>
      <w:spacing w:after="0" w:line="240" w:lineRule="auto"/>
      <w:ind w:left="288"/>
    </w:pPr>
    <w:rPr>
      <w:rFonts w:ascii="Times New Roman" w:eastAsia="Times New Roman" w:hAnsi="Times New Roman" w:cs="Times New Roman"/>
      <w:kern w:val="0"/>
      <w:sz w:val="16"/>
      <w:szCs w:val="16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8E070D"/>
    <w:pPr>
      <w:spacing w:after="0" w:line="240" w:lineRule="auto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1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01C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01CC"/>
    <w:rPr>
      <w:rFonts w:ascii="Garamond" w:eastAsia="Calibri" w:hAnsi="Garamond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1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1CC"/>
    <w:rPr>
      <w:rFonts w:ascii="Garamond" w:eastAsia="Calibri" w:hAnsi="Garamond" w:cs="Times New Roman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7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556A-E15F-4D88-A060-2AD149D2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1738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Kamil Turoń</cp:lastModifiedBy>
  <cp:revision>5</cp:revision>
  <dcterms:created xsi:type="dcterms:W3CDTF">2024-11-29T11:31:00Z</dcterms:created>
  <dcterms:modified xsi:type="dcterms:W3CDTF">2024-11-30T08:29:00Z</dcterms:modified>
</cp:coreProperties>
</file>